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1"/>
          <w:i w:val="0"/>
          <w:smallCaps w:val="0"/>
          <w:strike w:val="0"/>
          <w:color w:val="3db5ff"/>
          <w:sz w:val="36"/>
          <w:szCs w:val="3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3422015</wp:posOffset>
            </wp:positionH>
            <wp:positionV relativeFrom="paragraph">
              <wp:posOffset>6350</wp:posOffset>
            </wp:positionV>
            <wp:extent cx="2522220" cy="52768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2220" cy="52768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1"/>
          <w:i w:val="0"/>
          <w:smallCaps w:val="0"/>
          <w:strike w:val="0"/>
          <w:color w:val="3db5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1"/>
          <w:i w:val="0"/>
          <w:smallCaps w:val="0"/>
          <w:strike w:val="0"/>
          <w:color w:val="3db5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after="0" w:lineRule="auto"/>
        <w:rPr>
          <w:vertAlign w:val="baseline"/>
        </w:rPr>
      </w:pPr>
      <w:bookmarkStart w:colFirst="0" w:colLast="0" w:name="_heading=h.w6e187omlt13" w:id="0"/>
      <w:bookmarkEnd w:id="0"/>
      <w:r w:rsidDel="00000000" w:rsidR="00000000" w:rsidRPr="00000000">
        <w:rPr>
          <w:vertAlign w:val="baseline"/>
          <w:rtl w:val="0"/>
        </w:rPr>
        <w:t xml:space="preserve">Memorandum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963920" cy="38100"/>
                <wp:effectExtent b="0" l="0" r="0" t="0"/>
                <wp:wrapNone/>
                <wp:docPr id="5" name=""/>
                <a:graphic>
                  <a:graphicData uri="http://schemas.microsoft.com/office/word/2010/wordprocessingShape">
                    <wps:wsp>
                      <wps:cNvCnPr/>
                      <wps:spPr>
                        <a:xfrm>
                          <a:off x="2373565" y="3780000"/>
                          <a:ext cx="5944870" cy="0"/>
                        </a:xfrm>
                        <a:prstGeom prst="straightConnector1">
                          <a:avLst/>
                        </a:prstGeom>
                        <a:noFill/>
                        <a:ln cap="flat" cmpd="sng" w="19050">
                          <a:solidFill>
                            <a:schemeClr val="accent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963920" cy="3810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63920" cy="381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1"/>
          <w:i w:val="0"/>
          <w:smallCaps w:val="0"/>
          <w:strike w:val="0"/>
          <w:color w:val="000000"/>
          <w:sz w:val="24"/>
          <w:szCs w:val="24"/>
          <w:u w:val="none"/>
          <w:shd w:fill="auto" w:val="clear"/>
          <w:vertAlign w:val="baseline"/>
        </w:rPr>
      </w:pPr>
      <w:r w:rsidDel="00000000" w:rsidR="00000000" w:rsidRPr="00000000">
        <w:rPr>
          <w:rFonts w:ascii="Kievit Offc Pro" w:cs="Kievit Offc Pro" w:eastAsia="Kievit Offc Pro" w:hAnsi="Kievit Offc Pro"/>
          <w:b w:val="1"/>
          <w:i w:val="0"/>
          <w:smallCaps w:val="0"/>
          <w:strike w:val="0"/>
          <w:color w:val="000000"/>
          <w:sz w:val="24"/>
          <w:szCs w:val="24"/>
          <w:u w:val="none"/>
          <w:shd w:fill="auto" w:val="clear"/>
          <w:vertAlign w:val="baseline"/>
          <w:rtl w:val="0"/>
        </w:rPr>
        <w:t xml:space="preserve">To: </w:t>
      </w:r>
      <w:r w:rsidDel="00000000" w:rsidR="00000000" w:rsidRPr="00000000">
        <w:rPr>
          <w:rFonts w:ascii="Kievit Offc Pro" w:cs="Kievit Offc Pro" w:eastAsia="Kievit Offc Pro" w:hAnsi="Kievit Offc Pro"/>
          <w:rtl w:val="0"/>
        </w:rPr>
        <w:t xml:space="preserve">UC Researchers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1"/>
          <w:i w:val="0"/>
          <w:smallCaps w:val="0"/>
          <w:strike w:val="0"/>
          <w:color w:val="000000"/>
          <w:sz w:val="24"/>
          <w:szCs w:val="24"/>
          <w:u w:val="none"/>
          <w:shd w:fill="auto" w:val="clear"/>
          <w:vertAlign w:val="baseline"/>
        </w:rPr>
      </w:pPr>
      <w:r w:rsidDel="00000000" w:rsidR="00000000" w:rsidRPr="00000000">
        <w:rPr>
          <w:rFonts w:ascii="Kievit Offc Pro" w:cs="Kievit Offc Pro" w:eastAsia="Kievit Offc Pro" w:hAnsi="Kievit Offc Pro"/>
          <w:b w:val="1"/>
          <w:i w:val="0"/>
          <w:smallCaps w:val="0"/>
          <w:strike w:val="0"/>
          <w:color w:val="000000"/>
          <w:sz w:val="24"/>
          <w:szCs w:val="24"/>
          <w:u w:val="none"/>
          <w:shd w:fill="auto" w:val="clear"/>
          <w:vertAlign w:val="baseline"/>
          <w:rtl w:val="0"/>
        </w:rPr>
        <w:t xml:space="preserve">From: </w:t>
      </w:r>
      <w:hyperlink r:id="rId9">
        <w:r w:rsidDel="00000000" w:rsidR="00000000" w:rsidRPr="00000000">
          <w:rPr>
            <w:rFonts w:ascii="Kievit Offc Pro" w:cs="Kievit Offc Pro" w:eastAsia="Kievit Offc Pro" w:hAnsi="Kievit Offc Pro"/>
            <w:color w:val="0000ee"/>
            <w:u w:val="single"/>
            <w:rtl w:val="0"/>
          </w:rPr>
          <w:t xml:space="preserve">Sandra Hemingway</w:t>
        </w:r>
      </w:hyperlink>
      <w:r w:rsidDel="00000000" w:rsidR="00000000" w:rsidRPr="00000000">
        <w:rPr>
          <w:rFonts w:ascii="Kievit Offc Pro" w:cs="Kievit Offc Pro" w:eastAsia="Kievit Offc Pro" w:hAnsi="Kievit Offc Pro"/>
          <w:rtl w:val="0"/>
        </w:rPr>
        <w:t xml:space="preserve">, Research &amp; Outreach Manager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1"/>
          <w:i w:val="0"/>
          <w:smallCaps w:val="0"/>
          <w:strike w:val="0"/>
          <w:color w:val="000000"/>
          <w:sz w:val="24"/>
          <w:szCs w:val="24"/>
          <w:u w:val="none"/>
          <w:shd w:fill="auto" w:val="clear"/>
          <w:vertAlign w:val="baseline"/>
        </w:rPr>
      </w:pPr>
      <w:r w:rsidDel="00000000" w:rsidR="00000000" w:rsidRPr="00000000">
        <w:rPr>
          <w:rFonts w:ascii="Kievit Offc Pro" w:cs="Kievit Offc Pro" w:eastAsia="Kievit Offc Pro" w:hAnsi="Kievit Offc Pro"/>
          <w:b w:val="1"/>
          <w:i w:val="0"/>
          <w:smallCaps w:val="0"/>
          <w:strike w:val="0"/>
          <w:color w:val="000000"/>
          <w:sz w:val="24"/>
          <w:szCs w:val="24"/>
          <w:u w:val="none"/>
          <w:shd w:fill="auto" w:val="clear"/>
          <w:vertAlign w:val="baseline"/>
          <w:rtl w:val="0"/>
        </w:rPr>
        <w:t xml:space="preserve">Subject: </w:t>
      </w:r>
      <w:r w:rsidDel="00000000" w:rsidR="00000000" w:rsidRPr="00000000">
        <w:rPr>
          <w:rFonts w:ascii="Kievit Offc Pro" w:cs="Kievit Offc Pro" w:eastAsia="Kievit Offc Pro" w:hAnsi="Kievit Offc Pro"/>
          <w:rtl w:val="0"/>
        </w:rPr>
        <w:t xml:space="preserve">Update to 2025-26 RFP - Multi-campus budget guidance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0"/>
          <w:i w:val="0"/>
          <w:smallCaps w:val="0"/>
          <w:strike w:val="0"/>
          <w:color w:val="000000"/>
          <w:sz w:val="24"/>
          <w:szCs w:val="24"/>
          <w:u w:val="none"/>
          <w:shd w:fill="auto" w:val="clear"/>
          <w:vertAlign w:val="baseline"/>
        </w:rPr>
      </w:pPr>
      <w:r w:rsidDel="00000000" w:rsidR="00000000" w:rsidRPr="00000000">
        <w:rPr>
          <w:rFonts w:ascii="Kievit Offc Pro" w:cs="Kievit Offc Pro" w:eastAsia="Kievit Offc Pro" w:hAnsi="Kievit Offc Pro"/>
          <w:b w:val="1"/>
          <w:i w:val="0"/>
          <w:smallCaps w:val="0"/>
          <w:strike w:val="0"/>
          <w:color w:val="000000"/>
          <w:sz w:val="24"/>
          <w:szCs w:val="24"/>
          <w:u w:val="none"/>
          <w:shd w:fill="auto" w:val="clear"/>
          <w:vertAlign w:val="baseline"/>
          <w:rtl w:val="0"/>
        </w:rPr>
        <w:t xml:space="preserve">Date: </w:t>
      </w:r>
      <w:r w:rsidDel="00000000" w:rsidR="00000000" w:rsidRPr="00000000">
        <w:rPr>
          <w:rFonts w:ascii="Kievit Offc Pro" w:cs="Kievit Offc Pro" w:eastAsia="Kievit Offc Pro" w:hAnsi="Kievit Offc Pro"/>
          <w:rtl w:val="0"/>
        </w:rPr>
        <w:t xml:space="preserve">May 1, 2025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Kievit Offc Pro" w:cs="Kievit Offc Pro" w:eastAsia="Kievit Offc Pro" w:hAnsi="Kievit Offc Pro"/>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963920" cy="38100"/>
                <wp:effectExtent b="0" l="0" r="0" t="0"/>
                <wp:wrapNone/>
                <wp:docPr id="4" name=""/>
                <a:graphic>
                  <a:graphicData uri="http://schemas.microsoft.com/office/word/2010/wordprocessingShape">
                    <wps:wsp>
                      <wps:cNvCnPr/>
                      <wps:spPr>
                        <a:xfrm>
                          <a:off x="2373565" y="3780000"/>
                          <a:ext cx="5944870" cy="0"/>
                        </a:xfrm>
                        <a:prstGeom prst="straightConnector1">
                          <a:avLst/>
                        </a:prstGeom>
                        <a:noFill/>
                        <a:ln cap="flat" cmpd="sng" w="19050">
                          <a:solidFill>
                            <a:schemeClr val="accent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963920" cy="381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63920" cy="38100"/>
                        </a:xfrm>
                        <a:prstGeom prst="rect"/>
                        <a:ln/>
                      </pic:spPr>
                    </pic:pic>
                  </a:graphicData>
                </a:graphic>
              </wp:anchor>
            </w:drawing>
          </mc:Fallback>
        </mc:AlternateContent>
      </w:r>
    </w:p>
    <w:p w:rsidR="00000000" w:rsidDel="00000000" w:rsidP="00000000" w:rsidRDefault="00000000" w:rsidRPr="00000000" w14:paraId="0000000B">
      <w:pPr>
        <w:pStyle w:val="Heading2"/>
        <w:rPr>
          <w:vertAlign w:val="baseline"/>
        </w:rPr>
      </w:pPr>
      <w:bookmarkStart w:colFirst="0" w:colLast="0" w:name="_heading=h.m505wotii084" w:id="1"/>
      <w:bookmarkEnd w:id="1"/>
      <w:r w:rsidDel="00000000" w:rsidR="00000000" w:rsidRPr="00000000">
        <w:rPr>
          <w:rtl w:val="0"/>
        </w:rPr>
        <w:t xml:space="preserve">Multi-campus Budget Guidance</w:t>
      </w:r>
      <w:r w:rsidDel="00000000" w:rsidR="00000000" w:rsidRPr="00000000">
        <w:rPr>
          <w:rtl w:val="0"/>
        </w:rPr>
      </w:r>
    </w:p>
    <w:p w:rsidR="00000000" w:rsidDel="00000000" w:rsidP="00000000" w:rsidRDefault="00000000" w:rsidRPr="00000000" w14:paraId="0000000C">
      <w:pPr>
        <w:pStyle w:val="Heading3"/>
        <w:rPr/>
      </w:pPr>
      <w:bookmarkStart w:colFirst="0" w:colLast="0" w:name="_heading=h.lij8jqvbcda1" w:id="2"/>
      <w:bookmarkEnd w:id="2"/>
      <w:r w:rsidDel="00000000" w:rsidR="00000000" w:rsidRPr="00000000">
        <w:rPr>
          <w:rtl w:val="0"/>
        </w:rPr>
        <w:t xml:space="preserve">Annual award for all project types updated</w:t>
      </w:r>
    </w:p>
    <w:p w:rsidR="00000000" w:rsidDel="00000000" w:rsidP="00000000" w:rsidRDefault="00000000" w:rsidRPr="00000000" w14:paraId="0000000D">
      <w:pPr>
        <w:rPr/>
      </w:pPr>
      <w:r w:rsidDel="00000000" w:rsidR="00000000" w:rsidRPr="00000000">
        <w:rPr>
          <w:rtl w:val="0"/>
        </w:rPr>
        <w:t xml:space="preserve">Th</w:t>
      </w:r>
      <w:r w:rsidDel="00000000" w:rsidR="00000000" w:rsidRPr="00000000">
        <w:rPr>
          <w:color w:val="434343"/>
          <w:rtl w:val="0"/>
        </w:rPr>
        <w:t xml:space="preserve">e UC ITS J</w:t>
      </w:r>
      <w:r w:rsidDel="00000000" w:rsidR="00000000" w:rsidRPr="00000000">
        <w:rPr>
          <w:rtl w:val="0"/>
        </w:rPr>
        <w:t xml:space="preserve">oint RFP FY 2025-26 has been updated to reflect a slight change in wording to clarify the expected annual award range across all project types.The original RFP only included multi-campus budget guidance for applied research projects. Section 3.3 Eligible Project Types has been updated to reflect the following changes: </w:t>
      </w:r>
    </w:p>
    <w:p w:rsidR="00000000" w:rsidDel="00000000" w:rsidP="00000000" w:rsidRDefault="00000000" w:rsidRPr="00000000" w14:paraId="0000000E">
      <w:pPr>
        <w:spacing w:after="0" w:line="276" w:lineRule="auto"/>
        <w:rPr/>
      </w:pPr>
      <w:r w:rsidDel="00000000" w:rsidR="00000000" w:rsidRPr="00000000">
        <w:rPr>
          <w:rtl w:val="0"/>
        </w:rPr>
        <w:t xml:space="preserve">The following project types will be considered: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1.641791044776"/>
        <w:gridCol w:w="5882.430703624733"/>
        <w:gridCol w:w="1631.5138592750532"/>
        <w:gridCol w:w="274.4136460554371"/>
        <w:tblGridChange w:id="0">
          <w:tblGrid>
            <w:gridCol w:w="1571.641791044776"/>
            <w:gridCol w:w="5882.430703624733"/>
            <w:gridCol w:w="1631.5138592750532"/>
            <w:gridCol w:w="274.4136460554371"/>
          </w:tblGrid>
        </w:tblGridChange>
      </w:tblGrid>
      <w:tr>
        <w:trPr>
          <w:cantSplit w:val="0"/>
          <w:trHeight w:val="830" w:hRule="atLeast"/>
          <w:tblHeader w:val="0"/>
        </w:trPr>
        <w:tc>
          <w:tcPr>
            <w:vMerge w:val="restart"/>
            <w:tcBorders>
              <w:top w:color="000000" w:space="0" w:sz="6" w:val="single"/>
              <w:left w:color="000000" w:space="0" w:sz="6" w:val="single"/>
              <w:bottom w:color="000000" w:space="0" w:sz="6"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F">
            <w:pPr>
              <w:pBdr>
                <w:bottom w:color="auto" w:space="0" w:sz="0" w:val="none"/>
              </w:pBdr>
              <w:spacing w:after="0" w:line="276" w:lineRule="auto"/>
              <w:ind w:left="60" w:firstLine="0"/>
              <w:rPr>
                <w:b w:val="1"/>
              </w:rPr>
            </w:pPr>
            <w:r w:rsidDel="00000000" w:rsidR="00000000" w:rsidRPr="00000000">
              <w:rPr>
                <w:b w:val="1"/>
                <w:rtl w:val="0"/>
              </w:rPr>
              <w:t xml:space="preserve">Project Type</w:t>
            </w:r>
          </w:p>
        </w:tc>
        <w:tc>
          <w:tcPr>
            <w:vMerge w:val="restart"/>
            <w:tcBorders>
              <w:top w:color="000000" w:space="0" w:sz="6" w:val="single"/>
              <w:left w:color="000000" w:space="0" w:sz="0" w:val="nil"/>
              <w:bottom w:color="000000" w:space="0" w:sz="6"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0">
            <w:pPr>
              <w:pBdr>
                <w:bottom w:color="auto" w:space="0" w:sz="0" w:val="none"/>
              </w:pBdr>
              <w:spacing w:after="0" w:line="276" w:lineRule="auto"/>
              <w:ind w:left="60" w:firstLine="0"/>
              <w:rPr>
                <w:b w:val="1"/>
              </w:rPr>
            </w:pPr>
            <w:r w:rsidDel="00000000" w:rsidR="00000000" w:rsidRPr="00000000">
              <w:rPr>
                <w:b w:val="1"/>
                <w:rtl w:val="0"/>
              </w:rPr>
              <w:t xml:space="preserve">Description</w:t>
            </w:r>
          </w:p>
        </w:tc>
        <w:tc>
          <w:tcPr>
            <w:vMerge w:val="restart"/>
            <w:tcBorders>
              <w:top w:color="000000" w:space="0" w:sz="6" w:val="single"/>
              <w:left w:color="000000" w:space="0" w:sz="0" w:val="nil"/>
              <w:bottom w:color="000000" w:space="0" w:sz="6" w:val="single"/>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1">
            <w:pPr>
              <w:spacing w:after="0" w:line="276" w:lineRule="auto"/>
              <w:ind w:left="60" w:firstLine="0"/>
              <w:rPr>
                <w:b w:val="1"/>
              </w:rPr>
            </w:pPr>
            <w:r w:rsidDel="00000000" w:rsidR="00000000" w:rsidRPr="00000000">
              <w:rPr>
                <w:b w:val="1"/>
                <w:rtl w:val="0"/>
              </w:rPr>
              <w:t xml:space="preserve">Expected Annual Award Range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ind w:left="60" w:firstLine="0"/>
              <w:rPr/>
            </w:pPr>
            <w:r w:rsidDel="00000000" w:rsidR="00000000" w:rsidRPr="00000000">
              <w:rPr>
                <w:rtl w:val="0"/>
              </w:rPr>
            </w:r>
          </w:p>
        </w:tc>
      </w:tr>
      <w:tr>
        <w:trPr>
          <w:cantSplit w:val="0"/>
          <w:trHeight w:val="60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ind w:left="60" w:firstLine="0"/>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ind w:left="60" w:firstLine="0"/>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ind w:left="6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ind w:left="60" w:firstLine="0"/>
              <w:rPr/>
            </w:pPr>
            <w:r w:rsidDel="00000000" w:rsidR="00000000" w:rsidRPr="00000000">
              <w:rPr>
                <w:rtl w:val="0"/>
              </w:rPr>
            </w:r>
          </w:p>
        </w:tc>
      </w:tr>
      <w:tr>
        <w:trPr>
          <w:cantSplit w:val="0"/>
          <w:trHeight w:val="17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Bdr>
                <w:bottom w:color="auto" w:space="0" w:sz="0" w:val="none"/>
              </w:pBdr>
              <w:spacing w:after="0" w:line="276" w:lineRule="auto"/>
              <w:ind w:left="60" w:firstLine="0"/>
              <w:rPr/>
            </w:pPr>
            <w:r w:rsidDel="00000000" w:rsidR="00000000" w:rsidRPr="00000000">
              <w:rPr>
                <w:rtl w:val="0"/>
              </w:rPr>
              <w:t xml:space="preserve">Applied Research Project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bottom w:color="auto" w:space="0" w:sz="0" w:val="none"/>
              </w:pBdr>
              <w:spacing w:after="0" w:line="276" w:lineRule="auto"/>
              <w:ind w:left="60" w:firstLine="0"/>
              <w:rPr/>
            </w:pPr>
            <w:r w:rsidDel="00000000" w:rsidR="00000000" w:rsidRPr="00000000">
              <w:rPr>
                <w:rtl w:val="0"/>
              </w:rPr>
              <w:t xml:space="preserve">Applied research projects close a knowledge gap on an important issue and involve original data acquisition and/or analysis. Shorter-term projects (12 months or less) are preferred, but longer-term projects (over 12 months) will be considered. Multi-campus projects are encouraged.</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276" w:lineRule="auto"/>
              <w:ind w:left="60" w:firstLine="0"/>
              <w:rPr/>
            </w:pPr>
            <w:r w:rsidDel="00000000" w:rsidR="00000000" w:rsidRPr="00000000">
              <w:rPr>
                <w:rtl w:val="0"/>
              </w:rPr>
              <w:t xml:space="preserve">$100,000 per participating </w:t>
            </w:r>
            <w:r w:rsidDel="00000000" w:rsidR="00000000" w:rsidRPr="00000000">
              <w:rPr>
                <w:color w:val="ff0000"/>
                <w:rtl w:val="0"/>
              </w:rPr>
              <w:t xml:space="preserve">campus</w:t>
            </w:r>
            <w:r w:rsidDel="00000000" w:rsidR="00000000" w:rsidRPr="00000000">
              <w:rPr>
                <w:rtl w:val="0"/>
              </w:rPr>
              <w:t xml:space="preserve">, up to $400,000 total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ind w:left="60" w:firstLine="0"/>
              <w:rPr/>
            </w:pPr>
            <w:r w:rsidDel="00000000" w:rsidR="00000000" w:rsidRPr="00000000">
              <w:rPr>
                <w:rtl w:val="0"/>
              </w:rPr>
            </w:r>
          </w:p>
        </w:tc>
      </w:tr>
      <w:tr>
        <w:trPr>
          <w:cantSplit w:val="0"/>
          <w:trHeight w:val="17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bottom w:color="auto" w:space="0" w:sz="0" w:val="none"/>
              </w:pBdr>
              <w:spacing w:after="0" w:line="276" w:lineRule="auto"/>
              <w:ind w:left="60" w:firstLine="0"/>
              <w:rPr/>
            </w:pPr>
            <w:r w:rsidDel="00000000" w:rsidR="00000000" w:rsidRPr="00000000">
              <w:rPr>
                <w:rtl w:val="0"/>
              </w:rPr>
              <w:t xml:space="preserve">Research Synthesis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Bdr>
                <w:bottom w:color="auto" w:space="0" w:sz="0" w:val="none"/>
              </w:pBdr>
              <w:spacing w:after="0" w:line="276" w:lineRule="auto"/>
              <w:ind w:left="60" w:firstLine="0"/>
              <w:rPr/>
            </w:pPr>
            <w:r w:rsidDel="00000000" w:rsidR="00000000" w:rsidRPr="00000000">
              <w:rPr>
                <w:rtl w:val="0"/>
              </w:rPr>
              <w:t xml:space="preserve">A research synthesis should summarize existing research on a given topic and identify research gaps for critical policy and/or practice-related questions. The synthesis should be prepared for an informed but non-technical audience.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76" w:lineRule="auto"/>
              <w:ind w:left="60" w:firstLine="0"/>
              <w:rPr>
                <w:color w:val="ff0000"/>
              </w:rPr>
            </w:pPr>
            <w:r w:rsidDel="00000000" w:rsidR="00000000" w:rsidRPr="00000000">
              <w:rPr>
                <w:rtl w:val="0"/>
              </w:rPr>
              <w:t xml:space="preserve">$25,000 to $40,000</w:t>
            </w:r>
            <w:r w:rsidDel="00000000" w:rsidR="00000000" w:rsidRPr="00000000">
              <w:rPr>
                <w:color w:val="ff0000"/>
                <w:rtl w:val="0"/>
              </w:rPr>
              <w:t xml:space="preserve"> per participating campus, up to $100,000 total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before="240" w:lineRule="auto"/>
              <w:ind w:left="60" w:firstLine="0"/>
              <w:rPr/>
            </w:pPr>
            <w:r w:rsidDel="00000000" w:rsidR="00000000" w:rsidRPr="00000000">
              <w:rPr>
                <w:rtl w:val="0"/>
              </w:rPr>
              <w:t xml:space="preserve"> </w:t>
            </w:r>
          </w:p>
        </w:tc>
      </w:tr>
      <w:tr>
        <w:trPr>
          <w:cantSplit w:val="0"/>
          <w:trHeight w:val="25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Bdr>
                <w:bottom w:color="auto" w:space="0" w:sz="0" w:val="none"/>
              </w:pBdr>
              <w:spacing w:after="0" w:line="276" w:lineRule="auto"/>
              <w:ind w:left="60" w:firstLine="0"/>
              <w:rPr/>
            </w:pPr>
            <w:r w:rsidDel="00000000" w:rsidR="00000000" w:rsidRPr="00000000">
              <w:rPr>
                <w:rtl w:val="0"/>
              </w:rPr>
              <w:t xml:space="preserve">Translational Project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Bdr>
                <w:bottom w:color="auto" w:space="0" w:sz="0" w:val="none"/>
              </w:pBdr>
              <w:spacing w:after="0" w:line="276" w:lineRule="auto"/>
              <w:ind w:left="60" w:firstLine="0"/>
              <w:rPr/>
            </w:pPr>
            <w:r w:rsidDel="00000000" w:rsidR="00000000" w:rsidRPr="00000000">
              <w:rPr>
                <w:rtl w:val="0"/>
              </w:rPr>
              <w:t xml:space="preserve">Translational projects support the extension of completed research to additional applications, contexts, or audiences. Activities supported by translational projects can include real-world testing, website development, implementation activities, tool development, training programs, workshops, and/or development of practice- or policy-oriented outreach and informational materials (e.g., policy briefs, infographics, blog posts, videos, and other media).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Bdr>
                <w:bottom w:color="auto" w:space="0" w:sz="0" w:val="none"/>
              </w:pBdr>
              <w:spacing w:after="0" w:line="276" w:lineRule="auto"/>
              <w:ind w:left="60" w:firstLine="0"/>
              <w:rPr/>
            </w:pPr>
            <w:r w:rsidDel="00000000" w:rsidR="00000000" w:rsidRPr="00000000">
              <w:rPr>
                <w:rtl w:val="0"/>
              </w:rPr>
              <w:t xml:space="preserve">$40,000 to $60,000 </w:t>
            </w:r>
            <w:r w:rsidDel="00000000" w:rsidR="00000000" w:rsidRPr="00000000">
              <w:rPr>
                <w:color w:val="ff0000"/>
                <w:rtl w:val="0"/>
              </w:rPr>
              <w:t xml:space="preserve">per participating campus, up to $160,000 total</w:t>
            </w:r>
            <w:r w:rsidDel="00000000" w:rsidR="00000000" w:rsidRPr="00000000">
              <w:rPr>
                <w:rtl w:val="0"/>
              </w:rPr>
              <w:t xml:space="preserve"> </w:t>
            </w:r>
          </w:p>
          <w:p w:rsidR="00000000" w:rsidDel="00000000" w:rsidP="00000000" w:rsidRDefault="00000000" w:rsidRPr="00000000" w14:paraId="00000022">
            <w:pPr>
              <w:pBdr>
                <w:top w:color="auto" w:space="0" w:sz="0" w:val="none"/>
              </w:pBdr>
              <w:spacing w:after="0" w:line="276" w:lineRule="auto"/>
              <w:ind w:left="6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before="240" w:lineRule="auto"/>
              <w:ind w:left="60" w:firstLine="0"/>
              <w:rPr/>
            </w:pPr>
            <w:r w:rsidDel="00000000" w:rsidR="00000000" w:rsidRPr="00000000">
              <w:rPr>
                <w:rtl w:val="0"/>
              </w:rPr>
              <w:t xml:space="preserve"> </w:t>
            </w:r>
          </w:p>
        </w:tc>
      </w:tr>
    </w:tbl>
    <w:p w:rsidR="00000000" w:rsidDel="00000000" w:rsidP="00000000" w:rsidRDefault="00000000" w:rsidRPr="00000000" w14:paraId="00000024">
      <w:pPr>
        <w:rPr>
          <w:rFonts w:ascii="Kievit Offc Pro" w:cs="Kievit Offc Pro" w:eastAsia="Kievit Offc Pro" w:hAnsi="Kievit Offc Pro"/>
          <w:b w:val="1"/>
        </w:rPr>
      </w:pPr>
      <w:r w:rsidDel="00000000" w:rsidR="00000000" w:rsidRPr="00000000">
        <w:rPr>
          <w:rtl w:val="0"/>
        </w:rPr>
      </w:r>
    </w:p>
    <w:p w:rsidR="00000000" w:rsidDel="00000000" w:rsidP="00000000" w:rsidRDefault="00000000" w:rsidRPr="00000000" w14:paraId="00000025">
      <w:pPr>
        <w:pageBreakBefore w:val="0"/>
        <w:rPr>
          <w:rFonts w:ascii="Kievit Offc Pro" w:cs="Kievit Offc Pro" w:eastAsia="Kievit Offc Pro" w:hAnsi="Kievit Offc Pro"/>
        </w:rPr>
      </w:pPr>
      <w:r w:rsidDel="00000000" w:rsidR="00000000" w:rsidRPr="00000000">
        <w:rPr>
          <w:rFonts w:ascii="Kievit Offc Pro" w:cs="Kievit Offc Pro" w:eastAsia="Kievit Offc Pro" w:hAnsi="Kievit Offc Pro"/>
          <w:rtl w:val="0"/>
        </w:rPr>
        <w:t xml:space="preserve">This change reflects that the total budget request will be capped based on the number of campuses involved and the specified amount per participating campus. The research team must justify the budget request in the proposal. </w:t>
      </w:r>
    </w:p>
    <w:p w:rsidR="00000000" w:rsidDel="00000000" w:rsidP="00000000" w:rsidRDefault="00000000" w:rsidRPr="00000000" w14:paraId="00000026">
      <w:pPr>
        <w:pageBreakBefore w:val="0"/>
        <w:rPr>
          <w:rFonts w:ascii="Kievit Offc Pro" w:cs="Kievit Offc Pro" w:eastAsia="Kievit Offc Pro" w:hAnsi="Kievit Offc Pro"/>
        </w:rPr>
      </w:pPr>
      <w:r w:rsidDel="00000000" w:rsidR="00000000" w:rsidRPr="00000000">
        <w:rPr>
          <w:rFonts w:ascii="Kievit Offc Pro" w:cs="Kievit Offc Pro" w:eastAsia="Kievit Offc Pro" w:hAnsi="Kievit Offc Pro"/>
          <w:rtl w:val="0"/>
        </w:rPr>
        <w:t xml:space="preserve">This change highlights the possibility of collaborative work on all project types, not just applied research projects.</w:t>
      </w:r>
    </w:p>
    <w:p w:rsidR="00000000" w:rsidDel="00000000" w:rsidP="00000000" w:rsidRDefault="00000000" w:rsidRPr="00000000" w14:paraId="00000027">
      <w:pPr>
        <w:pStyle w:val="Heading2"/>
        <w:rPr/>
      </w:pPr>
      <w:bookmarkStart w:colFirst="0" w:colLast="0" w:name="_heading=h.opnnftjsn0w" w:id="3"/>
      <w:bookmarkEnd w:id="3"/>
      <w:r w:rsidDel="00000000" w:rsidR="00000000" w:rsidRPr="00000000">
        <w:rPr>
          <w:rtl w:val="0"/>
        </w:rPr>
        <w:t xml:space="preserve">Typo Correction</w:t>
      </w:r>
    </w:p>
    <w:p w:rsidR="00000000" w:rsidDel="00000000" w:rsidP="00000000" w:rsidRDefault="00000000" w:rsidRPr="00000000" w14:paraId="00000028">
      <w:pPr>
        <w:pageBreakBefore w:val="0"/>
        <w:rPr>
          <w:rFonts w:ascii="Kievit Offc Pro" w:cs="Kievit Offc Pro" w:eastAsia="Kievit Offc Pro" w:hAnsi="Kievit Offc Pro"/>
        </w:rPr>
      </w:pPr>
      <w:r w:rsidDel="00000000" w:rsidR="00000000" w:rsidRPr="00000000">
        <w:rPr>
          <w:rFonts w:ascii="Kievit Offc Pro" w:cs="Kievit Offc Pro" w:eastAsia="Kievit Offc Pro" w:hAnsi="Kievit Offc Pro"/>
          <w:rtl w:val="0"/>
        </w:rPr>
        <w:t xml:space="preserve">The UC ITS Joint RFP Proposal Template FY 2025-26 had a typo in Section 4. Budget on the second bullet point. The typo has been corrected as follows:</w:t>
      </w:r>
    </w:p>
    <w:p w:rsidR="00000000" w:rsidDel="00000000" w:rsidP="00000000" w:rsidRDefault="00000000" w:rsidRPr="00000000" w14:paraId="00000029">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For single-campus projects with a PI from </w:t>
      </w:r>
      <w:r w:rsidDel="00000000" w:rsidR="00000000" w:rsidRPr="00000000">
        <w:rPr>
          <w:rFonts w:ascii="Calibri" w:cs="Calibri" w:eastAsia="Calibri" w:hAnsi="Calibri"/>
          <w:b w:val="1"/>
          <w:color w:val="ff0000"/>
          <w:rtl w:val="0"/>
        </w:rPr>
        <w:t xml:space="preserve">UCLA,</w:t>
      </w:r>
      <w:r w:rsidDel="00000000" w:rsidR="00000000" w:rsidRPr="00000000">
        <w:rPr>
          <w:rFonts w:ascii="Calibri" w:cs="Calibri" w:eastAsia="Calibri" w:hAnsi="Calibri"/>
          <w:b w:val="1"/>
          <w:rtl w:val="0"/>
        </w:rPr>
        <w:t xml:space="preserve"> UC Davis, or UC Irvine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This information is already correctly listed in the UC ITS Joint RFP FY 2025-26 and a budget template has already been provided in both documents. </w:t>
      </w:r>
      <w:r w:rsidDel="00000000" w:rsidR="00000000" w:rsidRPr="00000000">
        <w:rPr>
          <w:rtl w:val="0"/>
        </w:rPr>
      </w:r>
    </w:p>
    <w:p w:rsidR="00000000" w:rsidDel="00000000" w:rsidP="00000000" w:rsidRDefault="00000000" w:rsidRPr="00000000" w14:paraId="0000002B">
      <w:pPr>
        <w:pStyle w:val="Heading2"/>
        <w:rPr/>
      </w:pPr>
      <w:bookmarkStart w:colFirst="0" w:colLast="0" w:name="_heading=h.dcg001t1cce4" w:id="4"/>
      <w:bookmarkEnd w:id="4"/>
      <w:r w:rsidDel="00000000" w:rsidR="00000000" w:rsidRPr="00000000">
        <w:rPr>
          <w:rtl w:val="0"/>
        </w:rPr>
        <w:t xml:space="preserve">Questions</w:t>
      </w:r>
    </w:p>
    <w:p w:rsidR="00000000" w:rsidDel="00000000" w:rsidP="00000000" w:rsidRDefault="00000000" w:rsidRPr="00000000" w14:paraId="0000002C">
      <w:pPr>
        <w:rPr>
          <w:rFonts w:ascii="Kievit Offc Pro" w:cs="Kievit Offc Pro" w:eastAsia="Kievit Offc Pro" w:hAnsi="Kievit Offc Pro"/>
        </w:rPr>
      </w:pPr>
      <w:r w:rsidDel="00000000" w:rsidR="00000000" w:rsidRPr="00000000">
        <w:rPr>
          <w:rtl w:val="0"/>
        </w:rPr>
        <w:t xml:space="preserve">Please submit all questions to the RFP questions form </w:t>
      </w:r>
      <w:hyperlink r:id="rId10">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sectPr>
      <w:footerReference r:id="rId11"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Kievit Offc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434343"/>
        <w:sz w:val="22"/>
        <w:szCs w:val="22"/>
        <w:lang w:val="en-US"/>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3db5ff"/>
      <w:sz w:val="40"/>
      <w:szCs w:val="40"/>
    </w:rPr>
  </w:style>
  <w:style w:type="paragraph" w:styleId="Heading2">
    <w:name w:val="heading 2"/>
    <w:basedOn w:val="Normal"/>
    <w:next w:val="Normal"/>
    <w:pPr>
      <w:spacing w:after="120" w:before="120" w:line="276" w:lineRule="auto"/>
    </w:pPr>
    <w:rPr>
      <w:color w:val="000000"/>
      <w:sz w:val="32"/>
      <w:szCs w:val="32"/>
      <w:u w:val="single"/>
    </w:rPr>
  </w:style>
  <w:style w:type="paragraph" w:styleId="Heading3">
    <w:name w:val="heading 3"/>
    <w:basedOn w:val="Normal"/>
    <w:next w:val="Normal"/>
    <w:pPr>
      <w:spacing w:after="60" w:line="276" w:lineRule="auto"/>
    </w:pPr>
    <w:rPr>
      <w:b w:val="1"/>
      <w:i w:val="1"/>
      <w:color w:val="000000"/>
      <w:sz w:val="26"/>
      <w:szCs w:val="26"/>
    </w:rPr>
  </w:style>
  <w:style w:type="paragraph" w:styleId="Heading4">
    <w:name w:val="heading 4"/>
    <w:basedOn w:val="Normal"/>
    <w:next w:val="Normal"/>
    <w:pPr>
      <w:keepNext w:val="1"/>
      <w:keepLines w:val="1"/>
      <w:spacing w:after="0" w:before="40" w:lineRule="auto"/>
    </w:pPr>
    <w:rPr>
      <w:i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rPr>
      <w:rFonts w:ascii="Arial" w:cs="Arial" w:eastAsia="Arial" w:hAnsi="Arial"/>
      <w:i w:val="1"/>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airtable.com/app6zIEcwFB792eV3/pagjjdLztwK44Ghar/form" TargetMode="External"/><Relationship Id="rId9" Type="http://schemas.openxmlformats.org/officeDocument/2006/relationships/hyperlink" Target="mailto:shemingway@ucit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yhfwaA9m2BznkOr5ZOVu0UzBQ==">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